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56D5B9" w14:textId="77777777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7856D5BA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7856D5BB" w14:textId="77777777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7856D5BC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CC39C6">
        <w:rPr>
          <w:rFonts w:ascii="Verdana" w:hAnsi="Verdana" w:cstheme="minorHAnsi"/>
          <w:b/>
          <w:sz w:val="22"/>
          <w:highlight w:val="green"/>
          <w:u w:val="single"/>
        </w:rPr>
        <w:t>…………</w:t>
      </w:r>
      <w:r w:rsidR="00B55BD0" w:rsidRPr="00CC39C6">
        <w:rPr>
          <w:rFonts w:ascii="Verdana" w:hAnsi="Verdana" w:cstheme="minorHAnsi"/>
          <w:b/>
          <w:sz w:val="22"/>
          <w:highlight w:val="green"/>
          <w:u w:val="single"/>
        </w:rPr>
        <w:t>……</w:t>
      </w:r>
      <w:proofErr w:type="gramStart"/>
      <w:r w:rsidR="00712561" w:rsidRPr="00CC39C6">
        <w:rPr>
          <w:rFonts w:ascii="Verdana" w:hAnsi="Verdana" w:cstheme="minorHAnsi"/>
          <w:b/>
          <w:sz w:val="22"/>
          <w:highlight w:val="green"/>
          <w:u w:val="single"/>
        </w:rPr>
        <w:t>…</w:t>
      </w:r>
      <w:r w:rsidR="00E57A32" w:rsidRPr="00CC39C6">
        <w:rPr>
          <w:rFonts w:ascii="Verdana" w:hAnsi="Verdana" w:cstheme="minorHAnsi"/>
          <w:b/>
          <w:sz w:val="22"/>
          <w:highlight w:val="green"/>
          <w:u w:val="single"/>
        </w:rPr>
        <w:t>.</w:t>
      </w:r>
      <w:r w:rsidR="00712561" w:rsidRPr="00CC39C6">
        <w:rPr>
          <w:rFonts w:ascii="Verdana" w:hAnsi="Verdana" w:cstheme="minorHAnsi"/>
          <w:b/>
          <w:sz w:val="22"/>
          <w:highlight w:val="green"/>
          <w:u w:val="single"/>
        </w:rPr>
        <w:t>.</w:t>
      </w:r>
      <w:proofErr w:type="gramEnd"/>
    </w:p>
    <w:p w14:paraId="7856D5BD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856D5BF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uzavřená analogicky k ustanovení § 131 zákona č. 134/201</w:t>
      </w:r>
      <w:bookmarkStart w:id="0" w:name="_GoBack"/>
      <w:bookmarkEnd w:id="0"/>
      <w:r w:rsidRPr="008B5521">
        <w:rPr>
          <w:rFonts w:ascii="Verdana" w:hAnsi="Verdana" w:cstheme="minorHAnsi"/>
          <w:sz w:val="18"/>
          <w:szCs w:val="18"/>
        </w:rPr>
        <w:t xml:space="preserve">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7856D5C0" w14:textId="77777777" w:rsidR="0022127F" w:rsidRPr="008B5521" w:rsidRDefault="0022127F" w:rsidP="000B560C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</w:p>
    <w:p w14:paraId="7856D5C1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7856D5C2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14:paraId="7856D5C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7856D5C4" w14:textId="77777777" w:rsidR="00D734CC" w:rsidRPr="00A65316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A65316">
        <w:rPr>
          <w:rFonts w:ascii="Verdana" w:hAnsi="Verdana" w:cstheme="minorHAnsi"/>
          <w:sz w:val="18"/>
          <w:szCs w:val="18"/>
        </w:rPr>
        <w:t>IČ</w:t>
      </w:r>
      <w:r w:rsidR="000B6260" w:rsidRPr="00A65316">
        <w:rPr>
          <w:rFonts w:ascii="Verdana" w:hAnsi="Verdana" w:cstheme="minorHAnsi"/>
          <w:sz w:val="18"/>
          <w:szCs w:val="18"/>
        </w:rPr>
        <w:t>O</w:t>
      </w:r>
      <w:r w:rsidRPr="00A65316">
        <w:rPr>
          <w:rFonts w:ascii="Verdana" w:hAnsi="Verdana" w:cstheme="minorHAnsi"/>
          <w:sz w:val="18"/>
          <w:szCs w:val="18"/>
        </w:rPr>
        <w:t>:</w:t>
      </w:r>
      <w:r w:rsidRPr="00A65316">
        <w:rPr>
          <w:rFonts w:ascii="Verdana" w:hAnsi="Verdana" w:cstheme="minorHAnsi"/>
          <w:sz w:val="18"/>
          <w:szCs w:val="18"/>
        </w:rPr>
        <w:tab/>
      </w:r>
      <w:r w:rsidRPr="00A65316">
        <w:rPr>
          <w:rFonts w:ascii="Verdana" w:hAnsi="Verdana" w:cstheme="minorHAnsi"/>
          <w:sz w:val="18"/>
          <w:szCs w:val="18"/>
        </w:rPr>
        <w:tab/>
      </w:r>
      <w:r w:rsidR="008D7572" w:rsidRPr="00A65316">
        <w:rPr>
          <w:rFonts w:ascii="Verdana" w:hAnsi="Verdana" w:cstheme="minorHAnsi"/>
          <w:sz w:val="18"/>
          <w:szCs w:val="18"/>
        </w:rPr>
        <w:tab/>
      </w:r>
      <w:r w:rsidRPr="00A65316">
        <w:rPr>
          <w:rFonts w:ascii="Verdana" w:hAnsi="Verdana" w:cstheme="minorHAnsi"/>
          <w:sz w:val="18"/>
          <w:szCs w:val="18"/>
        </w:rPr>
        <w:t>709</w:t>
      </w:r>
      <w:r w:rsidR="000B6260" w:rsidRPr="00A65316">
        <w:rPr>
          <w:rFonts w:ascii="Verdana" w:hAnsi="Verdana" w:cstheme="minorHAnsi"/>
          <w:sz w:val="18"/>
          <w:szCs w:val="18"/>
        </w:rPr>
        <w:t xml:space="preserve"> </w:t>
      </w:r>
      <w:r w:rsidRPr="00A65316">
        <w:rPr>
          <w:rFonts w:ascii="Verdana" w:hAnsi="Verdana" w:cstheme="minorHAnsi"/>
          <w:sz w:val="18"/>
          <w:szCs w:val="18"/>
        </w:rPr>
        <w:t>94</w:t>
      </w:r>
      <w:r w:rsidR="000B6260" w:rsidRPr="00A65316">
        <w:rPr>
          <w:rFonts w:ascii="Verdana" w:hAnsi="Verdana" w:cstheme="minorHAnsi"/>
          <w:sz w:val="18"/>
          <w:szCs w:val="18"/>
        </w:rPr>
        <w:t xml:space="preserve"> </w:t>
      </w:r>
      <w:r w:rsidRPr="00A65316">
        <w:rPr>
          <w:rFonts w:ascii="Verdana" w:hAnsi="Verdana" w:cstheme="minorHAnsi"/>
          <w:sz w:val="18"/>
          <w:szCs w:val="18"/>
        </w:rPr>
        <w:t>234</w:t>
      </w:r>
    </w:p>
    <w:p w14:paraId="7856D5C5" w14:textId="77777777" w:rsidR="00D734CC" w:rsidRPr="00A65316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A65316">
        <w:rPr>
          <w:rFonts w:ascii="Verdana" w:hAnsi="Verdana" w:cstheme="minorHAnsi"/>
          <w:sz w:val="18"/>
          <w:szCs w:val="18"/>
        </w:rPr>
        <w:t>DIČ:</w:t>
      </w:r>
      <w:r w:rsidRPr="00A65316">
        <w:rPr>
          <w:rFonts w:ascii="Verdana" w:hAnsi="Verdana" w:cstheme="minorHAnsi"/>
          <w:sz w:val="18"/>
          <w:szCs w:val="18"/>
        </w:rPr>
        <w:tab/>
      </w:r>
      <w:r w:rsidRPr="00A65316">
        <w:rPr>
          <w:rFonts w:ascii="Verdana" w:hAnsi="Verdana" w:cstheme="minorHAnsi"/>
          <w:sz w:val="18"/>
          <w:szCs w:val="18"/>
        </w:rPr>
        <w:tab/>
      </w:r>
      <w:r w:rsidR="008D7572" w:rsidRPr="00A65316">
        <w:rPr>
          <w:rFonts w:ascii="Verdana" w:hAnsi="Verdana" w:cstheme="minorHAnsi"/>
          <w:sz w:val="18"/>
          <w:szCs w:val="18"/>
        </w:rPr>
        <w:tab/>
      </w:r>
      <w:r w:rsidRPr="00A65316">
        <w:rPr>
          <w:rFonts w:ascii="Verdana" w:hAnsi="Verdana" w:cstheme="minorHAnsi"/>
          <w:sz w:val="18"/>
          <w:szCs w:val="18"/>
        </w:rPr>
        <w:t>CZ70994234</w:t>
      </w:r>
    </w:p>
    <w:p w14:paraId="7856D5C6" w14:textId="7D317337" w:rsidR="00306FC6" w:rsidRPr="00A65316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A65316">
        <w:rPr>
          <w:rFonts w:ascii="Verdana" w:hAnsi="Verdana" w:cstheme="minorHAnsi"/>
          <w:sz w:val="18"/>
          <w:szCs w:val="18"/>
        </w:rPr>
        <w:t>Bankovní spojení:</w:t>
      </w:r>
      <w:r w:rsidR="00A65316" w:rsidRPr="00A65316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7856D5C7" w14:textId="66E91FA4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A65316">
        <w:rPr>
          <w:rFonts w:ascii="Verdana" w:hAnsi="Verdana" w:cstheme="minorHAnsi"/>
          <w:sz w:val="18"/>
          <w:szCs w:val="18"/>
        </w:rPr>
        <w:t xml:space="preserve">Číslo účtu: </w:t>
      </w:r>
      <w:r w:rsidR="00A65316" w:rsidRPr="00A65316">
        <w:rPr>
          <w:rFonts w:ascii="Verdana" w:hAnsi="Verdana" w:cstheme="minorHAnsi"/>
          <w:sz w:val="18"/>
          <w:szCs w:val="18"/>
        </w:rPr>
        <w:tab/>
      </w:r>
      <w:r w:rsidR="00A65316" w:rsidRPr="00A65316">
        <w:rPr>
          <w:rFonts w:ascii="Verdana" w:hAnsi="Verdana" w:cstheme="minorHAnsi"/>
          <w:sz w:val="18"/>
          <w:szCs w:val="18"/>
        </w:rPr>
        <w:tab/>
      </w:r>
      <w:r w:rsidR="00A65316" w:rsidRPr="00A65316">
        <w:rPr>
          <w:rFonts w:ascii="Verdana" w:hAnsi="Verdana"/>
          <w:sz w:val="18"/>
          <w:szCs w:val="18"/>
        </w:rPr>
        <w:t>3009-14606011/0710</w:t>
      </w:r>
    </w:p>
    <w:p w14:paraId="7856D5C8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856D5C9" w14:textId="301C6DBF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A65316">
        <w:rPr>
          <w:rFonts w:ascii="Verdana" w:hAnsi="Verdana" w:cstheme="minorHAnsi"/>
          <w:sz w:val="18"/>
          <w:szCs w:val="18"/>
        </w:rPr>
        <w:t xml:space="preserve"> Ing. Ladislavem Kašparem, ředitelem Oblastního ředitelství Olomouc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856D5CA" w14:textId="62ED5A0D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Adresa pro doručování </w:t>
      </w:r>
      <w:r w:rsidR="00A65316" w:rsidRPr="008B5521">
        <w:rPr>
          <w:rFonts w:ascii="Verdana" w:hAnsi="Verdana" w:cstheme="minorHAnsi"/>
          <w:sz w:val="18"/>
          <w:szCs w:val="18"/>
        </w:rPr>
        <w:t>písemností v listinné</w:t>
      </w:r>
      <w:r w:rsidRPr="008B5521">
        <w:rPr>
          <w:rFonts w:ascii="Verdana" w:hAnsi="Verdana" w:cstheme="minorHAnsi"/>
          <w:sz w:val="18"/>
          <w:szCs w:val="18"/>
        </w:rPr>
        <w:t xml:space="preserve"> podobě:</w:t>
      </w:r>
    </w:p>
    <w:p w14:paraId="12B2894F" w14:textId="77777777" w:rsidR="00A65316" w:rsidRPr="00A65316" w:rsidRDefault="00A65316" w:rsidP="00A65316">
      <w:p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A65316">
        <w:rPr>
          <w:rFonts w:ascii="Verdana" w:hAnsi="Verdana" w:cstheme="minorHAnsi"/>
          <w:sz w:val="18"/>
          <w:szCs w:val="18"/>
        </w:rPr>
        <w:t>Oblastní ředitelství Olomouc,</w:t>
      </w:r>
    </w:p>
    <w:p w14:paraId="4DFCC9CD" w14:textId="77777777" w:rsidR="00A65316" w:rsidRPr="00A65316" w:rsidRDefault="00A65316" w:rsidP="00A65316">
      <w:p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A65316">
        <w:rPr>
          <w:rFonts w:ascii="Verdana" w:hAnsi="Verdana" w:cstheme="minorHAnsi"/>
          <w:sz w:val="18"/>
          <w:szCs w:val="18"/>
        </w:rPr>
        <w:t>Nerudova 1,</w:t>
      </w:r>
    </w:p>
    <w:p w14:paraId="7856D5CB" w14:textId="44B40705" w:rsidR="00194826" w:rsidRPr="00A65316" w:rsidRDefault="00A65316" w:rsidP="00A65316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A65316">
        <w:rPr>
          <w:rFonts w:ascii="Verdana" w:hAnsi="Verdana" w:cstheme="minorHAnsi"/>
          <w:sz w:val="18"/>
          <w:szCs w:val="18"/>
        </w:rPr>
        <w:t>779 00 Olomouc</w:t>
      </w:r>
      <w:r w:rsidR="00194826" w:rsidRPr="00A65316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7856D5CC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745E7A5F" w14:textId="663FA3F2" w:rsidR="00A65316" w:rsidRDefault="00A6531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hyperlink r:id="rId12" w:history="1">
        <w:r w:rsidRPr="0076516B">
          <w:rPr>
            <w:rStyle w:val="Hypertextovodkaz"/>
            <w:rFonts w:ascii="Verdana" w:hAnsi="Verdana" w:cstheme="minorHAnsi"/>
            <w:sz w:val="18"/>
            <w:szCs w:val="18"/>
          </w:rPr>
          <w:t>OROLCsek@szdc.cz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A65316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 </w:t>
      </w:r>
    </w:p>
    <w:p w14:paraId="7856D5CE" w14:textId="67898E90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7856D5CF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856D5D0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7856D5D1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856D5D2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proofErr w:type="gramStart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856D5D3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7856D5D4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</w:p>
    <w:p w14:paraId="7856D5D5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proofErr w:type="gramEnd"/>
    </w:p>
    <w:p w14:paraId="7856D5D6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7856D5D7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856D5D8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7856D5D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14A6B3FF" w14:textId="77777777" w:rsidR="00A65316" w:rsidRDefault="00A65316" w:rsidP="00A6531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98762A5" w14:textId="449A4DBF" w:rsidR="00A65316" w:rsidRPr="008B5521" w:rsidRDefault="00A65316" w:rsidP="00A6531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…………………………………………………………...</w:t>
      </w:r>
    </w:p>
    <w:p w14:paraId="658BA6B5" w14:textId="77777777" w:rsidR="00A65316" w:rsidRPr="008B5521" w:rsidRDefault="00A65316" w:rsidP="00A6531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Adresa pro doručování písemnosti v elektronické podobě:</w:t>
      </w:r>
    </w:p>
    <w:p w14:paraId="0E23F625" w14:textId="6EA57AC4" w:rsidR="00A65316" w:rsidRDefault="00A6531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…………………………………………………………...</w:t>
      </w:r>
    </w:p>
    <w:p w14:paraId="7856D5DA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856D5DB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7856D5DC" w14:textId="77777777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7856D5DD" w14:textId="562016C6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</w:t>
      </w:r>
      <w:r w:rsidRPr="00A65316">
        <w:rPr>
          <w:rFonts w:ascii="Verdana" w:hAnsi="Verdana" w:cstheme="minorHAnsi"/>
          <w:sz w:val="18"/>
          <w:szCs w:val="18"/>
        </w:rPr>
        <w:t xml:space="preserve">uzavřena na základě výsledků zadávacího řízení </w:t>
      </w:r>
      <w:r w:rsidR="000A53AE" w:rsidRPr="00A65316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A65316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A65316">
        <w:rPr>
          <w:rFonts w:ascii="Verdana" w:hAnsi="Verdana" w:cstheme="minorHAnsi"/>
          <w:sz w:val="18"/>
          <w:szCs w:val="18"/>
        </w:rPr>
        <w:t>dohody odpovídající</w:t>
      </w:r>
      <w:r w:rsidR="00E01062" w:rsidRPr="00A65316">
        <w:rPr>
          <w:rFonts w:ascii="Verdana" w:hAnsi="Verdana" w:cstheme="minorHAnsi"/>
          <w:sz w:val="18"/>
          <w:szCs w:val="18"/>
        </w:rPr>
        <w:t xml:space="preserve"> </w:t>
      </w:r>
      <w:r w:rsidR="000A53AE" w:rsidRPr="00A65316">
        <w:rPr>
          <w:rFonts w:ascii="Verdana" w:hAnsi="Verdana" w:cstheme="minorHAnsi"/>
          <w:sz w:val="18"/>
          <w:szCs w:val="18"/>
        </w:rPr>
        <w:t xml:space="preserve">zadávacímu řízení na  </w:t>
      </w:r>
      <w:r w:rsidR="005E6DAB" w:rsidRPr="00A65316">
        <w:rPr>
          <w:rFonts w:ascii="Verdana" w:hAnsi="Verdana" w:cstheme="minorHAnsi"/>
          <w:sz w:val="18"/>
          <w:szCs w:val="18"/>
        </w:rPr>
        <w:t>podlimitní sektorov</w:t>
      </w:r>
      <w:r w:rsidR="000A53AE" w:rsidRPr="00A65316">
        <w:rPr>
          <w:rFonts w:ascii="Verdana" w:hAnsi="Verdana" w:cstheme="minorHAnsi"/>
          <w:sz w:val="18"/>
          <w:szCs w:val="18"/>
        </w:rPr>
        <w:t>ou</w:t>
      </w:r>
      <w:r w:rsidR="005E6DAB" w:rsidRPr="00A65316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A65316">
        <w:rPr>
          <w:rFonts w:ascii="Verdana" w:hAnsi="Verdana" w:cstheme="minorHAnsi"/>
          <w:sz w:val="18"/>
          <w:szCs w:val="18"/>
        </w:rPr>
        <w:t>ou</w:t>
      </w:r>
      <w:r w:rsidR="005E6DAB" w:rsidRPr="00A65316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A65316">
        <w:rPr>
          <w:rFonts w:ascii="Verdana" w:hAnsi="Verdana" w:cstheme="minorHAnsi"/>
          <w:sz w:val="18"/>
          <w:szCs w:val="18"/>
        </w:rPr>
        <w:t>u</w:t>
      </w:r>
      <w:r w:rsidRPr="00A65316">
        <w:rPr>
          <w:rFonts w:ascii="Verdana" w:hAnsi="Verdana" w:cstheme="minorHAnsi"/>
          <w:sz w:val="18"/>
          <w:szCs w:val="18"/>
        </w:rPr>
        <w:t xml:space="preserve"> </w:t>
      </w:r>
      <w:r w:rsidR="00030FD1" w:rsidRPr="00A65316">
        <w:rPr>
          <w:rFonts w:ascii="Verdana" w:hAnsi="Verdana" w:cstheme="minorHAnsi"/>
          <w:sz w:val="18"/>
          <w:szCs w:val="18"/>
        </w:rPr>
        <w:t>zadávan</w:t>
      </w:r>
      <w:r w:rsidR="000A53AE" w:rsidRPr="00A65316">
        <w:rPr>
          <w:rFonts w:ascii="Verdana" w:hAnsi="Verdana" w:cstheme="minorHAnsi"/>
          <w:sz w:val="18"/>
          <w:szCs w:val="18"/>
        </w:rPr>
        <w:t>ou</w:t>
      </w:r>
      <w:r w:rsidR="00030FD1" w:rsidRPr="00A65316">
        <w:rPr>
          <w:rFonts w:ascii="Verdana" w:hAnsi="Verdana" w:cstheme="minorHAnsi"/>
          <w:sz w:val="18"/>
          <w:szCs w:val="18"/>
        </w:rPr>
        <w:t xml:space="preserve"> </w:t>
      </w:r>
      <w:r w:rsidRPr="00A65316">
        <w:rPr>
          <w:rFonts w:ascii="Verdana" w:hAnsi="Verdana" w:cstheme="minorHAnsi"/>
          <w:sz w:val="18"/>
          <w:szCs w:val="18"/>
        </w:rPr>
        <w:t xml:space="preserve">s názvem </w:t>
      </w:r>
      <w:r w:rsidR="00A65316" w:rsidRPr="00A65316">
        <w:rPr>
          <w:rFonts w:ascii="Verdana" w:hAnsi="Verdana" w:cstheme="minorHAnsi"/>
          <w:b/>
          <w:sz w:val="18"/>
          <w:szCs w:val="18"/>
        </w:rPr>
        <w:t>„Svařovací dávky pro údržbu železničního svršku“</w:t>
      </w:r>
      <w:r w:rsidRPr="00A65316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Pr="00A65316">
        <w:rPr>
          <w:rFonts w:ascii="Verdana" w:hAnsi="Verdana" w:cstheme="minorHAnsi"/>
          <w:sz w:val="18"/>
          <w:szCs w:val="18"/>
        </w:rPr>
        <w:t>č.j.</w:t>
      </w:r>
      <w:proofErr w:type="gramEnd"/>
      <w:r w:rsidRPr="00A65316">
        <w:rPr>
          <w:rFonts w:ascii="Verdana" w:hAnsi="Verdana" w:cstheme="minorHAnsi"/>
          <w:sz w:val="18"/>
          <w:szCs w:val="18"/>
        </w:rPr>
        <w:t xml:space="preserve"> </w:t>
      </w:r>
      <w:r w:rsidR="00A65316" w:rsidRPr="00A65316">
        <w:rPr>
          <w:rFonts w:ascii="Verdana" w:hAnsi="Verdana" w:cstheme="minorHAnsi"/>
          <w:sz w:val="18"/>
          <w:szCs w:val="18"/>
        </w:rPr>
        <w:t xml:space="preserve">10730/2019-SŽDC-OŘ OLC-NPI </w:t>
      </w:r>
      <w:r w:rsidRPr="00A65316">
        <w:rPr>
          <w:rFonts w:ascii="Verdana" w:hAnsi="Verdana" w:cstheme="minorHAnsi"/>
          <w:sz w:val="18"/>
          <w:szCs w:val="18"/>
        </w:rPr>
        <w:t>(dále jen „</w:t>
      </w:r>
      <w:r w:rsidR="000A53AE" w:rsidRPr="00A65316">
        <w:rPr>
          <w:rFonts w:ascii="Verdana" w:hAnsi="Verdana" w:cstheme="minorHAnsi"/>
          <w:sz w:val="18"/>
          <w:szCs w:val="18"/>
        </w:rPr>
        <w:t>zadávací řízení</w:t>
      </w:r>
      <w:r w:rsidRPr="00A65316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A65316">
        <w:rPr>
          <w:rFonts w:ascii="Verdana" w:hAnsi="Verdana" w:cstheme="minorHAnsi"/>
          <w:sz w:val="18"/>
          <w:szCs w:val="18"/>
        </w:rPr>
        <w:t xml:space="preserve">Rámcové </w:t>
      </w:r>
      <w:r w:rsidRPr="00A65316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A65316">
        <w:rPr>
          <w:rFonts w:ascii="Verdana" w:hAnsi="Verdana" w:cstheme="minorHAnsi"/>
          <w:sz w:val="18"/>
          <w:szCs w:val="18"/>
        </w:rPr>
        <w:t>zadávacího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7856D5DE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7856D5DF" w14:textId="77777777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7856D5E0" w14:textId="77777777" w:rsidR="000B560C" w:rsidRPr="00950E03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</w:t>
      </w:r>
      <w:r w:rsidRPr="00950E03">
        <w:rPr>
          <w:rFonts w:ascii="Verdana" w:hAnsi="Verdana" w:cstheme="minorHAnsi"/>
          <w:sz w:val="18"/>
          <w:szCs w:val="18"/>
        </w:rPr>
        <w:t xml:space="preserve">uvedeného v  </w:t>
      </w:r>
      <w:r w:rsidRPr="00950E03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950E03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950E03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950E03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950E03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950E03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7856D5E1" w14:textId="77777777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7856D5E2" w14:textId="469A82A6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</w:t>
      </w:r>
      <w:r w:rsidR="00950E03" w:rsidRPr="008B5521">
        <w:rPr>
          <w:rFonts w:ascii="Verdana" w:hAnsi="Verdana" w:cstheme="minorHAnsi"/>
          <w:sz w:val="18"/>
          <w:szCs w:val="18"/>
        </w:rPr>
        <w:t>č. 1 této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7856D5E3" w14:textId="7777777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7856D5E4" w14:textId="40FDD790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hyperlink r:id="rId13" w:history="1">
        <w:r w:rsidR="00950E03" w:rsidRPr="0076516B">
          <w:rPr>
            <w:rStyle w:val="Hypertextovodkaz"/>
            <w:rFonts w:ascii="Verdana" w:hAnsi="Verdana"/>
            <w:sz w:val="18"/>
            <w:szCs w:val="18"/>
          </w:rPr>
          <w:t>Jarmar@szdc.cz</w:t>
        </w:r>
      </w:hyperlink>
      <w:r w:rsidR="00950E03">
        <w:rPr>
          <w:rFonts w:ascii="Verdana" w:hAnsi="Verdana"/>
          <w:sz w:val="18"/>
          <w:szCs w:val="18"/>
        </w:rPr>
        <w:t xml:space="preserve"> </w:t>
      </w:r>
    </w:p>
    <w:p w14:paraId="7856D5E5" w14:textId="7777777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7856D5E6" w14:textId="77777777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7856D5E7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7856D5E8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7856D5E9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7856D5EA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7856D5E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856D5EC" w14:textId="3C7E9201" w:rsidR="00893290" w:rsidRPr="006F4A9B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6F4A9B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6F4A9B" w:rsidRPr="006F4A9B">
        <w:rPr>
          <w:rFonts w:ascii="Verdana" w:hAnsi="Verdana" w:cstheme="minorHAnsi"/>
          <w:sz w:val="18"/>
          <w:szCs w:val="18"/>
        </w:rPr>
        <w:t>2</w:t>
      </w:r>
      <w:r w:rsidR="007465F2" w:rsidRPr="006F4A9B">
        <w:rPr>
          <w:rFonts w:ascii="Verdana" w:hAnsi="Verdana" w:cstheme="minorHAnsi"/>
          <w:sz w:val="18"/>
          <w:szCs w:val="18"/>
        </w:rPr>
        <w:t xml:space="preserve"> </w:t>
      </w:r>
      <w:r w:rsidRPr="006F4A9B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6F4A9B">
        <w:rPr>
          <w:rFonts w:ascii="Verdana" w:hAnsi="Verdana" w:cstheme="minorHAnsi"/>
          <w:sz w:val="18"/>
          <w:szCs w:val="18"/>
        </w:rPr>
        <w:t>Rámcové</w:t>
      </w:r>
      <w:r w:rsidRPr="006F4A9B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</w:t>
      </w:r>
      <w:r w:rsidRPr="006F4A9B">
        <w:rPr>
          <w:rFonts w:ascii="Verdana" w:hAnsi="Verdana" w:cstheme="minorHAnsi"/>
          <w:sz w:val="18"/>
          <w:szCs w:val="18"/>
        </w:rPr>
        <w:lastRenderedPageBreak/>
        <w:t>s ohledem na množství požadovaných položek zboží cenu v objednávce přesně stanovit,</w:t>
      </w:r>
    </w:p>
    <w:p w14:paraId="7856D5ED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856D5EE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7856D5F1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7856D5F2" w14:textId="77777777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7856D5F3" w14:textId="39DBD6E0" w:rsidR="00893290" w:rsidRPr="008B5521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6F4A9B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 </w:t>
      </w:r>
    </w:p>
    <w:p w14:paraId="7856D5F4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7856D5F5" w14:textId="27E806C4" w:rsidR="00D608AA" w:rsidRPr="00CC39C6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CC39C6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CC39C6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CC39C6">
        <w:rPr>
          <w:rFonts w:ascii="Verdana" w:hAnsi="Verdana" w:cstheme="minorHAnsi"/>
          <w:sz w:val="18"/>
          <w:szCs w:val="18"/>
        </w:rPr>
        <w:t>uzavírána</w:t>
      </w:r>
      <w:r w:rsidRPr="00CC39C6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CC39C6" w:rsidRPr="00CC39C6">
        <w:rPr>
          <w:rFonts w:ascii="Verdana" w:eastAsiaTheme="majorEastAsia" w:hAnsi="Verdana" w:cstheme="minorHAnsi"/>
          <w:bCs/>
          <w:sz w:val="18"/>
          <w:szCs w:val="18"/>
        </w:rPr>
        <w:t>12</w:t>
      </w:r>
      <w:r w:rsidRPr="00CC39C6">
        <w:rPr>
          <w:rFonts w:ascii="Verdana" w:eastAsiaTheme="majorEastAsia" w:hAnsi="Verdana" w:cstheme="minorHAnsi"/>
          <w:bCs/>
          <w:sz w:val="18"/>
          <w:szCs w:val="18"/>
        </w:rPr>
        <w:t xml:space="preserve"> měsíců od nabytí její účinnosti</w:t>
      </w:r>
      <w:r w:rsidR="00CC39C6" w:rsidRPr="00CC39C6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856D5F6" w14:textId="77777777" w:rsidR="00062B10" w:rsidRPr="00CC39C6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CC39C6">
        <w:rPr>
          <w:rFonts w:ascii="Verdana" w:hAnsi="Verdana" w:cstheme="minorHAnsi"/>
          <w:sz w:val="18"/>
          <w:szCs w:val="18"/>
        </w:rPr>
        <w:t>Míst</w:t>
      </w:r>
      <w:r w:rsidR="00474AD3" w:rsidRPr="00CC39C6">
        <w:rPr>
          <w:rFonts w:ascii="Verdana" w:hAnsi="Verdana" w:cstheme="minorHAnsi"/>
          <w:sz w:val="18"/>
          <w:szCs w:val="18"/>
        </w:rPr>
        <w:t>o</w:t>
      </w:r>
      <w:r w:rsidRPr="00CC39C6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CC39C6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CC39C6">
        <w:rPr>
          <w:rFonts w:ascii="Verdana" w:hAnsi="Verdana" w:cstheme="minorHAnsi"/>
          <w:sz w:val="18"/>
          <w:szCs w:val="18"/>
        </w:rPr>
        <w:t xml:space="preserve"> </w:t>
      </w:r>
    </w:p>
    <w:p w14:paraId="7856D5F7" w14:textId="77777777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7856D5F8" w14:textId="42B64EF9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CC39C6">
        <w:rPr>
          <w:rFonts w:ascii="Verdana" w:eastAsiaTheme="majorEastAsia" w:hAnsi="Verdana" w:cstheme="minorHAnsi"/>
          <w:bCs/>
          <w:sz w:val="18"/>
          <w:szCs w:val="18"/>
        </w:rPr>
        <w:t>5 pracovních dní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7856D5F9" w14:textId="77777777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7856D5FA" w14:textId="7C4273A1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CC39C6">
        <w:rPr>
          <w:rFonts w:ascii="Verdana" w:hAnsi="Verdana" w:cstheme="minorHAnsi"/>
          <w:sz w:val="18"/>
          <w:szCs w:val="18"/>
        </w:rPr>
        <w:t xml:space="preserve">čase </w:t>
      </w:r>
      <w:r w:rsidR="00CC39C6" w:rsidRPr="00CC39C6">
        <w:rPr>
          <w:rFonts w:ascii="Verdana" w:hAnsi="Verdana" w:cstheme="minorHAnsi"/>
          <w:sz w:val="18"/>
          <w:szCs w:val="18"/>
        </w:rPr>
        <w:t>7:00 – 14:00</w:t>
      </w:r>
      <w:r w:rsidRPr="00CC39C6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CC39C6">
        <w:rPr>
          <w:rFonts w:ascii="Verdana" w:hAnsi="Verdana" w:cstheme="minorHAnsi"/>
          <w:sz w:val="18"/>
          <w:szCs w:val="18"/>
        </w:rPr>
        <w:t xml:space="preserve"> K</w:t>
      </w:r>
      <w:r w:rsidRPr="00CC39C6">
        <w:rPr>
          <w:rFonts w:ascii="Verdana" w:hAnsi="Verdana" w:cstheme="minorHAnsi"/>
          <w:sz w:val="18"/>
          <w:szCs w:val="18"/>
        </w:rPr>
        <w:t xml:space="preserve"> </w:t>
      </w:r>
      <w:r w:rsidR="00D034CB" w:rsidRPr="00CC39C6">
        <w:rPr>
          <w:rFonts w:ascii="Verdana" w:hAnsi="Verdana" w:cstheme="minorHAnsi"/>
          <w:sz w:val="18"/>
          <w:szCs w:val="18"/>
        </w:rPr>
        <w:t>předání a převzetí zboží probíhá v rámci předávacího řízení potvrzením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Dodacího listu ze strany Kupujícího a Prodávajícího. </w:t>
      </w:r>
    </w:p>
    <w:p w14:paraId="7856D5FD" w14:textId="77777777" w:rsidR="00211202" w:rsidRPr="00CC39C6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CC39C6">
        <w:rPr>
          <w:rFonts w:ascii="Verdana" w:hAnsi="Verdana" w:cstheme="minorHAnsi"/>
          <w:b/>
          <w:sz w:val="22"/>
        </w:rPr>
        <w:t>CENA DODÁVEK A PLATEBNÍ PODMÍNKY</w:t>
      </w:r>
    </w:p>
    <w:p w14:paraId="7856D5FE" w14:textId="6401BF4B" w:rsidR="00CB26F1" w:rsidRPr="00CC39C6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C39C6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CC39C6" w:rsidRPr="00CC39C6">
        <w:rPr>
          <w:rFonts w:ascii="Verdana" w:hAnsi="Verdana" w:cstheme="minorHAnsi"/>
          <w:sz w:val="18"/>
          <w:szCs w:val="18"/>
        </w:rPr>
        <w:t>2</w:t>
      </w:r>
      <w:r w:rsidR="007465F2" w:rsidRPr="00CC39C6">
        <w:rPr>
          <w:rFonts w:ascii="Verdana" w:hAnsi="Verdana" w:cstheme="minorHAnsi"/>
          <w:sz w:val="18"/>
          <w:szCs w:val="18"/>
        </w:rPr>
        <w:t xml:space="preserve"> </w:t>
      </w:r>
      <w:r w:rsidRPr="00CC39C6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CC39C6">
        <w:rPr>
          <w:rFonts w:ascii="Verdana" w:hAnsi="Verdana" w:cstheme="minorHAnsi"/>
          <w:sz w:val="18"/>
          <w:szCs w:val="18"/>
        </w:rPr>
        <w:t>Rámcové</w:t>
      </w:r>
      <w:r w:rsidRPr="00CC39C6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7856D5FF" w14:textId="59906DA6" w:rsidR="00CB26F1" w:rsidRPr="00CC39C6" w:rsidRDefault="00E6302B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CC39C6">
        <w:rPr>
          <w:rFonts w:ascii="Verdana" w:hAnsi="Verdana" w:cstheme="minorHAnsi"/>
          <w:sz w:val="18"/>
          <w:szCs w:val="18"/>
        </w:rPr>
        <w:t xml:space="preserve">Cena </w:t>
      </w:r>
      <w:r w:rsidR="00CB26F1" w:rsidRPr="00CC39C6">
        <w:rPr>
          <w:rFonts w:ascii="Verdana" w:hAnsi="Verdana" w:cstheme="minorHAnsi"/>
          <w:sz w:val="18"/>
          <w:szCs w:val="18"/>
        </w:rPr>
        <w:t>uveden</w:t>
      </w:r>
      <w:r w:rsidRPr="00CC39C6">
        <w:rPr>
          <w:rFonts w:ascii="Verdana" w:hAnsi="Verdana" w:cstheme="minorHAnsi"/>
          <w:sz w:val="18"/>
          <w:szCs w:val="18"/>
        </w:rPr>
        <w:t xml:space="preserve">á v bodu 1 této </w:t>
      </w:r>
      <w:r w:rsidR="00881560" w:rsidRPr="00CC39C6">
        <w:rPr>
          <w:rFonts w:ascii="Verdana" w:hAnsi="Verdana" w:cstheme="minorHAnsi"/>
          <w:sz w:val="18"/>
          <w:szCs w:val="18"/>
        </w:rPr>
        <w:t>Rámcové</w:t>
      </w:r>
      <w:r w:rsidRPr="00CC39C6">
        <w:rPr>
          <w:rFonts w:ascii="Verdana" w:hAnsi="Verdana" w:cstheme="minorHAnsi"/>
          <w:sz w:val="18"/>
          <w:szCs w:val="18"/>
        </w:rPr>
        <w:t xml:space="preserve"> dohody je cenou konečnou, zahrnuje veškeré související náklady Prodávajícího, včetně nákladů na třídění, balení, odběr prázdných obalů a jejich likvidaci, nakládání, dopravy do místa plnění, vyložení v místě plnění, včetně dalších nákladů Prodávajícího spojených s plněním </w:t>
      </w:r>
      <w:r w:rsidR="000A53AE" w:rsidRPr="00CC39C6">
        <w:rPr>
          <w:rFonts w:ascii="Verdana" w:hAnsi="Verdana" w:cstheme="minorHAnsi"/>
          <w:sz w:val="18"/>
          <w:szCs w:val="18"/>
        </w:rPr>
        <w:t xml:space="preserve">dílčí </w:t>
      </w:r>
      <w:r w:rsidRPr="00CC39C6">
        <w:rPr>
          <w:rFonts w:ascii="Verdana" w:hAnsi="Verdana" w:cstheme="minorHAnsi"/>
          <w:sz w:val="18"/>
          <w:szCs w:val="18"/>
        </w:rPr>
        <w:t xml:space="preserve">veřejné zakázky. / Jednotlivé ceny uvedené </w:t>
      </w:r>
      <w:r w:rsidR="00CB26F1" w:rsidRPr="00CC39C6">
        <w:rPr>
          <w:rFonts w:ascii="Verdana" w:hAnsi="Verdana" w:cstheme="minorHAnsi"/>
          <w:sz w:val="18"/>
          <w:szCs w:val="18"/>
        </w:rPr>
        <w:lastRenderedPageBreak/>
        <w:t>v</w:t>
      </w:r>
      <w:r w:rsidR="007465F2" w:rsidRPr="00CC39C6">
        <w:rPr>
          <w:rFonts w:ascii="Verdana" w:hAnsi="Verdana" w:cstheme="minorHAnsi"/>
          <w:sz w:val="18"/>
          <w:szCs w:val="18"/>
        </w:rPr>
        <w:t> jednotkovém ceníku</w:t>
      </w:r>
      <w:r w:rsidR="00CB26F1" w:rsidRPr="00CC39C6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CC39C6" w:rsidRPr="00CC39C6">
        <w:rPr>
          <w:rFonts w:ascii="Verdana" w:hAnsi="Verdana" w:cstheme="minorHAnsi"/>
          <w:sz w:val="18"/>
          <w:szCs w:val="18"/>
        </w:rPr>
        <w:t>2</w:t>
      </w:r>
      <w:r w:rsidR="00CB26F1" w:rsidRPr="00CC39C6">
        <w:rPr>
          <w:rFonts w:ascii="Verdana" w:hAnsi="Verdana" w:cstheme="minorHAnsi"/>
          <w:sz w:val="18"/>
          <w:szCs w:val="18"/>
        </w:rPr>
        <w:t xml:space="preserve"> této Rámcové dohody</w:t>
      </w:r>
      <w:r w:rsidRPr="00CC39C6">
        <w:rPr>
          <w:rFonts w:ascii="Verdana" w:hAnsi="Verdana" w:cstheme="minorHAnsi"/>
          <w:sz w:val="18"/>
          <w:szCs w:val="18"/>
        </w:rPr>
        <w:t xml:space="preserve">, </w:t>
      </w:r>
      <w:r w:rsidR="00CB26F1" w:rsidRPr="00CC39C6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7856D600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7856D601" w14:textId="77777777" w:rsidR="00CB26F1" w:rsidRPr="008B5521" w:rsidRDefault="00CB26F1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</w:t>
      </w:r>
      <w:r w:rsidRPr="00CC39C6">
        <w:rPr>
          <w:rFonts w:ascii="Verdana" w:hAnsi="Verdana" w:cstheme="minorHAnsi"/>
          <w:sz w:val="18"/>
          <w:szCs w:val="18"/>
        </w:rPr>
        <w:t xml:space="preserve">vzniká Prodávajícímu dnem převzetí </w:t>
      </w:r>
      <w:r w:rsidR="006007E5" w:rsidRPr="00CC39C6">
        <w:rPr>
          <w:rFonts w:ascii="Verdana" w:hAnsi="Verdana" w:cstheme="minorHAnsi"/>
          <w:sz w:val="18"/>
          <w:szCs w:val="18"/>
        </w:rPr>
        <w:t>zboží Kupujícím</w:t>
      </w:r>
      <w:r w:rsidRPr="00CC39C6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CC39C6">
        <w:rPr>
          <w:rFonts w:ascii="Verdana" w:hAnsi="Verdana" w:cstheme="minorHAnsi"/>
          <w:sz w:val="18"/>
          <w:szCs w:val="18"/>
        </w:rPr>
        <w:t>D</w:t>
      </w:r>
      <w:r w:rsidRPr="00CC39C6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CC39C6">
        <w:rPr>
          <w:rFonts w:ascii="Verdana" w:hAnsi="Verdana" w:cstheme="minorHAnsi"/>
          <w:sz w:val="18"/>
          <w:szCs w:val="18"/>
        </w:rPr>
        <w:t>Kupujícím</w:t>
      </w:r>
      <w:r w:rsidRPr="00CC39C6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CC39C6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CC39C6">
        <w:rPr>
          <w:rFonts w:ascii="Verdana" w:hAnsi="Verdana" w:cstheme="minorHAnsi"/>
          <w:sz w:val="18"/>
          <w:szCs w:val="18"/>
        </w:rPr>
        <w:t>Rámcové</w:t>
      </w:r>
      <w:r w:rsidR="00A606A2" w:rsidRPr="00CC39C6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CC39C6">
        <w:rPr>
          <w:rFonts w:ascii="Verdana" w:hAnsi="Verdana" w:cstheme="minorHAnsi"/>
          <w:sz w:val="18"/>
          <w:szCs w:val="18"/>
        </w:rPr>
        <w:t>.</w:t>
      </w:r>
    </w:p>
    <w:p w14:paraId="7856D603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7856D604" w14:textId="77777777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7856D605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7856D606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CC39C6">
        <w:rPr>
          <w:rFonts w:ascii="Verdana" w:hAnsi="Verdana" w:cstheme="minorHAnsi"/>
          <w:sz w:val="18"/>
          <w:szCs w:val="18"/>
          <w:highlight w:val="yellow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7856D607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7856D608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7856D609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7856D60A" w14:textId="77777777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7856D60B" w14:textId="77777777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856D60C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856D60D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856D60E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7856D60F" w14:textId="77777777" w:rsidR="006A4A0B" w:rsidRPr="008B5521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7856D610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856D611" w14:textId="77777777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7856D612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7856D613" w14:textId="5442E110" w:rsidR="008135F0" w:rsidRPr="008B5521" w:rsidRDefault="008135F0" w:rsidP="00CC39C6">
      <w:pPr>
        <w:pStyle w:val="Odstavecseseznamem"/>
        <w:numPr>
          <w:ilvl w:val="1"/>
          <w:numId w:val="10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CC39C6">
        <w:rPr>
          <w:rFonts w:ascii="Verdana" w:hAnsi="Verdana" w:cstheme="minorHAnsi"/>
          <w:sz w:val="18"/>
          <w:szCs w:val="18"/>
        </w:rPr>
        <w:t>:</w:t>
      </w:r>
      <w:r w:rsidR="0047043C" w:rsidRPr="00CC39C6">
        <w:rPr>
          <w:rFonts w:ascii="Verdana" w:hAnsi="Verdana" w:cstheme="minorHAnsi"/>
          <w:sz w:val="18"/>
          <w:szCs w:val="18"/>
        </w:rPr>
        <w:t xml:space="preserve"> </w:t>
      </w:r>
      <w:r w:rsidR="00CC39C6" w:rsidRPr="00CC39C6">
        <w:rPr>
          <w:rFonts w:ascii="Verdana" w:hAnsi="Verdana" w:cstheme="minorHAnsi"/>
          <w:sz w:val="18"/>
          <w:szCs w:val="18"/>
        </w:rPr>
        <w:t>p. František Jarmar</w:t>
      </w:r>
      <w:r w:rsidR="007F03C6" w:rsidRPr="00CC39C6">
        <w:rPr>
          <w:rFonts w:ascii="Verdana" w:hAnsi="Verdana" w:cstheme="minorHAnsi"/>
          <w:sz w:val="18"/>
          <w:szCs w:val="18"/>
        </w:rPr>
        <w:t xml:space="preserve">, </w:t>
      </w:r>
      <w:hyperlink r:id="rId14" w:history="1">
        <w:r w:rsidR="00CC39C6" w:rsidRPr="0076516B">
          <w:rPr>
            <w:rStyle w:val="Hypertextovodkaz"/>
            <w:rFonts w:ascii="Verdana" w:hAnsi="Verdana" w:cstheme="minorHAnsi"/>
            <w:sz w:val="18"/>
            <w:szCs w:val="18"/>
          </w:rPr>
          <w:t xml:space="preserve">Jarmar@szdc.cz </w:t>
        </w:r>
      </w:hyperlink>
      <w:r w:rsidR="007F03C6" w:rsidRPr="00CC39C6">
        <w:rPr>
          <w:rFonts w:ascii="Verdana" w:hAnsi="Verdana" w:cstheme="minorHAnsi"/>
          <w:sz w:val="18"/>
          <w:szCs w:val="18"/>
        </w:rPr>
        <w:t xml:space="preserve">, </w:t>
      </w:r>
      <w:r w:rsidR="00CC39C6" w:rsidRPr="00CC39C6">
        <w:rPr>
          <w:rFonts w:ascii="Verdana" w:hAnsi="Verdana" w:cstheme="minorHAnsi"/>
          <w:sz w:val="18"/>
          <w:szCs w:val="18"/>
        </w:rPr>
        <w:t>mob</w:t>
      </w:r>
      <w:r w:rsidR="007F03C6" w:rsidRPr="00CC39C6">
        <w:rPr>
          <w:rFonts w:ascii="Verdana" w:hAnsi="Verdana" w:cstheme="minorHAnsi"/>
          <w:sz w:val="18"/>
          <w:szCs w:val="18"/>
        </w:rPr>
        <w:t xml:space="preserve">.: </w:t>
      </w:r>
      <w:r w:rsidR="00CC39C6" w:rsidRPr="00CC39C6">
        <w:rPr>
          <w:rFonts w:ascii="Verdana" w:hAnsi="Verdana" w:cstheme="minorHAnsi"/>
          <w:sz w:val="18"/>
          <w:szCs w:val="18"/>
        </w:rPr>
        <w:t>724 236 174</w:t>
      </w:r>
    </w:p>
    <w:p w14:paraId="7856D614" w14:textId="6DE4155F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CC39C6">
        <w:rPr>
          <w:rFonts w:ascii="Verdana" w:hAnsi="Verdana" w:cstheme="minorHAnsi"/>
          <w:sz w:val="18"/>
          <w:szCs w:val="18"/>
        </w:rPr>
        <w:t>mob</w:t>
      </w:r>
      <w:proofErr w:type="gramEnd"/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7856D615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7856D616" w14:textId="77777777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7856D617" w14:textId="24C10D96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7856D618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7856D619" w14:textId="77777777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7856D61A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je vyhotovena ve třech stejnopisech s platností originálu, přičemž 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obdrží dva stejnopisy a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7856D61B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7856D61C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7856D61D" w14:textId="77777777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7856D61E" w14:textId="77777777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856D61F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7856D620" w14:textId="31E7E56F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7856D621" w14:textId="1D33071D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</w:t>
      </w:r>
      <w:proofErr w:type="gramStart"/>
      <w:r w:rsidRPr="008B5521">
        <w:rPr>
          <w:rFonts w:ascii="Verdana" w:hAnsi="Verdana" w:cstheme="minorHAnsi"/>
          <w:sz w:val="18"/>
          <w:szCs w:val="18"/>
        </w:rPr>
        <w:t xml:space="preserve">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</w:t>
      </w:r>
      <w:r w:rsidR="00681F22" w:rsidRPr="008B5521">
        <w:rPr>
          <w:rFonts w:ascii="Verdana" w:hAnsi="Verdana" w:cstheme="minorHAnsi"/>
          <w:sz w:val="18"/>
          <w:szCs w:val="18"/>
        </w:rPr>
        <w:t>specifikace</w:t>
      </w:r>
      <w:proofErr w:type="gramEnd"/>
      <w:r w:rsidR="00681F22" w:rsidRPr="008B5521">
        <w:rPr>
          <w:rFonts w:ascii="Verdana" w:hAnsi="Verdana" w:cstheme="minorHAnsi"/>
          <w:sz w:val="18"/>
          <w:szCs w:val="18"/>
        </w:rPr>
        <w:t xml:space="preserve">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</w:p>
    <w:p w14:paraId="7856D623" w14:textId="4E5870B0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CC39C6"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7856D624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7856D625" w14:textId="421318BA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CC39C6">
        <w:rPr>
          <w:rFonts w:ascii="Verdana" w:hAnsi="Verdana" w:cstheme="minorHAnsi"/>
          <w:b w:val="0"/>
          <w:sz w:val="18"/>
          <w:szCs w:val="18"/>
        </w:rPr>
        <w:t>Olomouci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7856D626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856D627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856D628" w14:textId="77777777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7856D629" w14:textId="77777777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856D62B" w14:textId="65D45DA9" w:rsidR="0000537B" w:rsidRPr="008B5521" w:rsidRDefault="00CC39C6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železniční dopravní cesty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 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00537B" w:rsidRPr="008B5521">
        <w:rPr>
          <w:rFonts w:ascii="Verdana" w:hAnsi="Verdana" w:cstheme="minorHAnsi"/>
          <w:sz w:val="18"/>
          <w:szCs w:val="18"/>
        </w:rPr>
        <w:t>……………………………………………</w:t>
      </w:r>
      <w:proofErr w:type="gramStart"/>
      <w:r w:rsidR="0000537B" w:rsidRPr="008B5521">
        <w:rPr>
          <w:rFonts w:ascii="Verdana" w:hAnsi="Verdana" w:cstheme="minorHAnsi"/>
          <w:sz w:val="18"/>
          <w:szCs w:val="18"/>
        </w:rPr>
        <w:t>…..</w:t>
      </w:r>
      <w:proofErr w:type="gramEnd"/>
    </w:p>
    <w:p w14:paraId="7856D62C" w14:textId="654ED3C4" w:rsidR="00CC5257" w:rsidRPr="008B5521" w:rsidRDefault="00CC39C6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Státní organizace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306FC6" w:rsidRPr="008B5521">
        <w:rPr>
          <w:rFonts w:ascii="Verdana" w:hAnsi="Verdana" w:cstheme="minorHAnsi"/>
          <w:sz w:val="18"/>
          <w:szCs w:val="18"/>
        </w:rPr>
        <w:tab/>
      </w:r>
      <w:r w:rsidR="007F03C6" w:rsidRPr="008B5521">
        <w:rPr>
          <w:rFonts w:ascii="Verdana" w:hAnsi="Verdana" w:cstheme="minorHAnsi"/>
          <w:sz w:val="18"/>
          <w:szCs w:val="18"/>
        </w:rPr>
        <w:tab/>
      </w:r>
      <w:r w:rsidR="00E5485A"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</w:p>
    <w:p w14:paraId="7856D62D" w14:textId="6AC1B26B" w:rsidR="00BF4D4D" w:rsidRPr="008B5521" w:rsidRDefault="00CC39C6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Ladislav Kašpar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7F03C6" w:rsidRPr="008B5521">
        <w:rPr>
          <w:rFonts w:ascii="Verdana" w:hAnsi="Verdana" w:cstheme="minorHAnsi"/>
          <w:sz w:val="18"/>
          <w:szCs w:val="18"/>
        </w:rPr>
        <w:t xml:space="preserve">    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4A33DA"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p w14:paraId="7856D62E" w14:textId="17FEB83F" w:rsidR="00137760" w:rsidRPr="008B5521" w:rsidRDefault="00CC39C6" w:rsidP="004F14F3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Olomouc</w:t>
      </w:r>
    </w:p>
    <w:p w14:paraId="7856D62F" w14:textId="77777777" w:rsidR="000C4186" w:rsidRPr="008B5521" w:rsidRDefault="000C4186" w:rsidP="004F14F3">
      <w:pPr>
        <w:rPr>
          <w:rFonts w:ascii="Verdana" w:hAnsi="Verdana" w:cstheme="minorHAnsi"/>
          <w:sz w:val="18"/>
          <w:szCs w:val="18"/>
        </w:rPr>
      </w:pPr>
    </w:p>
    <w:sectPr w:rsidR="000C4186" w:rsidRPr="008B5521" w:rsidSect="003B2DAA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6D63E" w14:textId="77777777" w:rsidR="00C63B6D" w:rsidRDefault="00C63B6D" w:rsidP="003706CB">
      <w:pPr>
        <w:spacing w:after="0" w:line="240" w:lineRule="auto"/>
      </w:pPr>
      <w:r>
        <w:separator/>
      </w:r>
    </w:p>
  </w:endnote>
  <w:endnote w:type="continuationSeparator" w:id="0">
    <w:p w14:paraId="7856D63F" w14:textId="77777777" w:rsidR="00C63B6D" w:rsidRDefault="00C63B6D" w:rsidP="003706CB">
      <w:pPr>
        <w:spacing w:after="0" w:line="240" w:lineRule="auto"/>
      </w:pPr>
      <w:r>
        <w:continuationSeparator/>
      </w:r>
    </w:p>
  </w:endnote>
  <w:endnote w:type="continuationNotice" w:id="1">
    <w:p w14:paraId="7856D640" w14:textId="77777777" w:rsidR="00C63B6D" w:rsidRDefault="00C63B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6D641" w14:textId="77777777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C39C6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C39C6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7856D64A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56D64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C39C6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C39C6">
            <w:rPr>
              <w:rFonts w:ascii="Verdana" w:eastAsia="Verdana" w:hAnsi="Verdana"/>
              <w:noProof/>
              <w:color w:val="FF5200"/>
              <w:sz w:val="14"/>
            </w:rPr>
            <w:t>6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56D644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Správa železniční dopravní cesty, státní organizace</w:t>
          </w:r>
        </w:p>
        <w:p w14:paraId="7856D645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56D646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856D64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7856D648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7856D64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7856D64B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56D63B" w14:textId="77777777" w:rsidR="00C63B6D" w:rsidRDefault="00C63B6D" w:rsidP="003706CB">
      <w:pPr>
        <w:spacing w:after="0" w:line="240" w:lineRule="auto"/>
      </w:pPr>
      <w:r>
        <w:separator/>
      </w:r>
    </w:p>
  </w:footnote>
  <w:footnote w:type="continuationSeparator" w:id="0">
    <w:p w14:paraId="7856D63C" w14:textId="77777777" w:rsidR="00C63B6D" w:rsidRDefault="00C63B6D" w:rsidP="003706CB">
      <w:pPr>
        <w:spacing w:after="0" w:line="240" w:lineRule="auto"/>
      </w:pPr>
      <w:r>
        <w:continuationSeparator/>
      </w:r>
    </w:p>
  </w:footnote>
  <w:footnote w:type="continuationNotice" w:id="1">
    <w:p w14:paraId="7856D63D" w14:textId="77777777" w:rsidR="00C63B6D" w:rsidRDefault="00C63B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6D642" w14:textId="21412E99" w:rsidR="00925A19" w:rsidRPr="004E6499" w:rsidRDefault="004E6499" w:rsidP="000016C0">
    <w:pPr>
      <w:pStyle w:val="Zhlav"/>
      <w:jc w:val="right"/>
    </w:pPr>
    <w:r>
      <w:rPr>
        <w:b/>
        <w:noProof/>
        <w:color w:val="C0504D" w:themeColor="accent2"/>
        <w:sz w:val="14"/>
        <w:lang w:eastAsia="cs-CZ"/>
      </w:rPr>
      <w:drawing>
        <wp:anchor distT="0" distB="0" distL="114300" distR="114300" simplePos="0" relativeHeight="251659264" behindDoc="1" locked="1" layoutInCell="1" allowOverlap="1" wp14:anchorId="7856D64C" wp14:editId="7856D64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466975" cy="829945"/>
          <wp:effectExtent l="0" t="0" r="9525" b="825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975" cy="829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  <w:num w:numId="11">
    <w:abstractNumId w:val="2"/>
  </w:num>
  <w:num w:numId="12">
    <w:abstractNumId w:val="10"/>
  </w:num>
  <w:num w:numId="13">
    <w:abstractNumId w:val="5"/>
  </w:num>
  <w:num w:numId="14">
    <w:abstractNumId w:val="8"/>
  </w:num>
  <w:num w:numId="15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6498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4A9B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646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0E03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4CB2"/>
    <w:rsid w:val="00A46AAE"/>
    <w:rsid w:val="00A606A2"/>
    <w:rsid w:val="00A64155"/>
    <w:rsid w:val="00A65316"/>
    <w:rsid w:val="00A65560"/>
    <w:rsid w:val="00A72DB9"/>
    <w:rsid w:val="00A7658C"/>
    <w:rsid w:val="00A77CA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39C6"/>
    <w:rsid w:val="00CC5257"/>
    <w:rsid w:val="00CC76B6"/>
    <w:rsid w:val="00CD14C0"/>
    <w:rsid w:val="00CE0374"/>
    <w:rsid w:val="00CE488A"/>
    <w:rsid w:val="00CF1282"/>
    <w:rsid w:val="00CF66BA"/>
    <w:rsid w:val="00D01A96"/>
    <w:rsid w:val="00D034CB"/>
    <w:rsid w:val="00D04FD1"/>
    <w:rsid w:val="00D13D04"/>
    <w:rsid w:val="00D162B6"/>
    <w:rsid w:val="00D279CA"/>
    <w:rsid w:val="00D30AD6"/>
    <w:rsid w:val="00D323A6"/>
    <w:rsid w:val="00D37412"/>
    <w:rsid w:val="00D5313F"/>
    <w:rsid w:val="00D608AA"/>
    <w:rsid w:val="00D61A99"/>
    <w:rsid w:val="00D734CC"/>
    <w:rsid w:val="00D73DCF"/>
    <w:rsid w:val="00D76B88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56D9"/>
    <w:rsid w:val="00E97E19"/>
    <w:rsid w:val="00EA09C6"/>
    <w:rsid w:val="00EA312B"/>
    <w:rsid w:val="00EA3CA5"/>
    <w:rsid w:val="00EB1E1A"/>
    <w:rsid w:val="00EB258A"/>
    <w:rsid w:val="00EB7BE5"/>
    <w:rsid w:val="00EC07BD"/>
    <w:rsid w:val="00ED0D45"/>
    <w:rsid w:val="00ED1C3B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E3EA1"/>
    <w:rsid w:val="00FF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56D5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footnote reference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footnote reference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armar@szd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OROLCsek@szd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firma@milanhroch.cz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Jarmar@szdc.cz%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A1369-A619-42FD-8E1D-46DB3F3B5114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871ABEB-C570-4BA3-B157-B304AA15A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E6632C-6B87-4908-BB68-448EE8EF6C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879319-F965-4D6C-A4E7-325440320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2350</Words>
  <Characters>13865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Duda Vlastimil, Ing.</cp:lastModifiedBy>
  <cp:revision>6</cp:revision>
  <cp:lastPrinted>2018-02-12T13:27:00Z</cp:lastPrinted>
  <dcterms:created xsi:type="dcterms:W3CDTF">2019-04-05T10:47:00Z</dcterms:created>
  <dcterms:modified xsi:type="dcterms:W3CDTF">2019-05-28T08:48:00Z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